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82" w:rsidRPr="00147C82" w:rsidRDefault="00147C82" w:rsidP="00147C82">
      <w:pPr>
        <w:spacing w:before="73" w:after="0" w:line="240" w:lineRule="auto"/>
        <w:ind w:left="2660"/>
        <w:outlineLvl w:val="0"/>
        <w:rPr>
          <w:rFonts w:ascii="Times New Roman" w:eastAsia="Times New Roman" w:hAnsi="Times New Roman" w:cs="Times New Roman"/>
          <w:b/>
          <w:bCs/>
          <w:kern w:val="36"/>
          <w:sz w:val="48"/>
          <w:szCs w:val="48"/>
        </w:rPr>
      </w:pPr>
      <w:r w:rsidRPr="00147C82">
        <w:rPr>
          <w:rFonts w:ascii="Times New Roman" w:eastAsia="Times New Roman" w:hAnsi="Times New Roman" w:cs="Times New Roman"/>
          <w:b/>
          <w:bCs/>
          <w:color w:val="000000"/>
          <w:kern w:val="36"/>
          <w:sz w:val="28"/>
          <w:szCs w:val="28"/>
        </w:rPr>
        <w:t>CICC Proposal Funding Guideline</w:t>
      </w:r>
    </w:p>
    <w:p w:rsidR="00147C82" w:rsidRPr="00147C82" w:rsidRDefault="00147C82" w:rsidP="00147C82">
      <w:pPr>
        <w:spacing w:after="0" w:line="240" w:lineRule="auto"/>
        <w:jc w:val="center"/>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6"/>
          <w:szCs w:val="26"/>
        </w:rPr>
        <w:t>Updated 9/26/2022</w:t>
      </w:r>
    </w:p>
    <w:p w:rsidR="00147C82" w:rsidRPr="00147C82" w:rsidRDefault="00147C82" w:rsidP="00147C82">
      <w:pPr>
        <w:spacing w:after="240" w:line="240" w:lineRule="auto"/>
        <w:rPr>
          <w:rFonts w:ascii="Times New Roman" w:eastAsia="Times New Roman" w:hAnsi="Times New Roman" w:cs="Times New Roman"/>
          <w:sz w:val="24"/>
          <w:szCs w:val="24"/>
        </w:rPr>
      </w:pPr>
    </w:p>
    <w:p w:rsidR="00147C82" w:rsidRPr="00147C82" w:rsidRDefault="00147C82" w:rsidP="00147C82">
      <w:pPr>
        <w:spacing w:after="0" w:line="240" w:lineRule="auto"/>
        <w:ind w:left="125" w:right="1763"/>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rPr>
        <w:t>Goal</w:t>
      </w:r>
      <w:r w:rsidRPr="00147C82">
        <w:rPr>
          <w:rFonts w:ascii="Times New Roman" w:eastAsia="Times New Roman" w:hAnsi="Times New Roman" w:cs="Times New Roman"/>
          <w:color w:val="000000"/>
          <w:sz w:val="24"/>
          <w:szCs w:val="24"/>
        </w:rPr>
        <w:t>: All components of the proposal should be critical to the intellectual and/or cultural experience as it relates to the published theme for the year.</w:t>
      </w:r>
    </w:p>
    <w:p w:rsidR="00147C82" w:rsidRPr="00147C82" w:rsidRDefault="00147C82" w:rsidP="00147C82">
      <w:pPr>
        <w:spacing w:after="0" w:line="240" w:lineRule="auto"/>
        <w:rPr>
          <w:rFonts w:ascii="Times New Roman" w:eastAsia="Times New Roman" w:hAnsi="Times New Roman" w:cs="Times New Roman"/>
          <w:sz w:val="24"/>
          <w:szCs w:val="24"/>
        </w:rPr>
      </w:pPr>
    </w:p>
    <w:p w:rsidR="00147C82" w:rsidRPr="00147C82" w:rsidRDefault="00147C82" w:rsidP="00147C82">
      <w:pPr>
        <w:spacing w:after="0" w:line="240" w:lineRule="auto"/>
        <w:ind w:left="125"/>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rPr>
        <w:t>2022-2023 Theme</w:t>
      </w:r>
      <w:r w:rsidRPr="00147C82">
        <w:rPr>
          <w:rFonts w:ascii="Times New Roman" w:eastAsia="Times New Roman" w:hAnsi="Times New Roman" w:cs="Times New Roman"/>
          <w:color w:val="000000"/>
          <w:sz w:val="24"/>
          <w:szCs w:val="24"/>
        </w:rPr>
        <w:t xml:space="preserve">: </w:t>
      </w:r>
      <w:r w:rsidRPr="00147C82">
        <w:rPr>
          <w:rFonts w:ascii="Arial" w:eastAsia="Times New Roman" w:hAnsi="Arial" w:cs="Arial"/>
          <w:b/>
          <w:bCs/>
          <w:color w:val="444444"/>
          <w:sz w:val="29"/>
          <w:szCs w:val="29"/>
          <w:shd w:val="clear" w:color="auto" w:fill="FFFFFF"/>
        </w:rPr>
        <w:t>#</w:t>
      </w:r>
      <w:proofErr w:type="gramStart"/>
      <w:r w:rsidRPr="00147C82">
        <w:rPr>
          <w:rFonts w:ascii="Calibri" w:eastAsia="Times New Roman" w:hAnsi="Calibri" w:cs="Calibri"/>
          <w:b/>
          <w:bCs/>
          <w:color w:val="000000"/>
          <w:sz w:val="24"/>
          <w:szCs w:val="24"/>
        </w:rPr>
        <w:t>The</w:t>
      </w:r>
      <w:proofErr w:type="gramEnd"/>
      <w:r w:rsidRPr="00147C82">
        <w:rPr>
          <w:rFonts w:ascii="Calibri" w:eastAsia="Times New Roman" w:hAnsi="Calibri" w:cs="Calibri"/>
          <w:b/>
          <w:bCs/>
          <w:color w:val="000000"/>
          <w:sz w:val="24"/>
          <w:szCs w:val="24"/>
        </w:rPr>
        <w:t xml:space="preserve"> Power of Your Passion</w:t>
      </w:r>
    </w:p>
    <w:p w:rsidR="00147C82" w:rsidRPr="00147C82" w:rsidRDefault="00147C82" w:rsidP="00147C82">
      <w:pPr>
        <w:spacing w:after="0" w:line="240" w:lineRule="auto"/>
        <w:rPr>
          <w:rFonts w:ascii="Times New Roman" w:eastAsia="Times New Roman" w:hAnsi="Times New Roman" w:cs="Times New Roman"/>
          <w:sz w:val="24"/>
          <w:szCs w:val="24"/>
        </w:rPr>
      </w:pPr>
    </w:p>
    <w:p w:rsidR="00147C82" w:rsidRPr="00147C82" w:rsidRDefault="00147C82" w:rsidP="00147C82">
      <w:pPr>
        <w:spacing w:after="0" w:line="240" w:lineRule="auto"/>
        <w:ind w:left="100"/>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u w:val="single"/>
        </w:rPr>
        <w:t>Theme:</w:t>
      </w:r>
      <w:r w:rsidRPr="00147C82">
        <w:rPr>
          <w:rFonts w:ascii="Times New Roman" w:eastAsia="Times New Roman" w:hAnsi="Times New Roman" w:cs="Times New Roman"/>
          <w:b/>
          <w:bCs/>
          <w:color w:val="000000"/>
          <w:sz w:val="24"/>
          <w:szCs w:val="24"/>
        </w:rPr>
        <w:t xml:space="preserve"> </w:t>
      </w:r>
      <w:r w:rsidRPr="00147C82">
        <w:rPr>
          <w:rFonts w:ascii="Arial" w:eastAsia="Times New Roman" w:hAnsi="Arial" w:cs="Arial"/>
          <w:b/>
          <w:bCs/>
          <w:color w:val="444444"/>
          <w:sz w:val="29"/>
          <w:szCs w:val="29"/>
          <w:shd w:val="clear" w:color="auto" w:fill="FFFFFF"/>
        </w:rPr>
        <w:t>#</w:t>
      </w:r>
      <w:r w:rsidRPr="00147C82">
        <w:rPr>
          <w:rFonts w:ascii="Calibri" w:eastAsia="Times New Roman" w:hAnsi="Calibri" w:cs="Calibri"/>
          <w:b/>
          <w:bCs/>
          <w:color w:val="000000"/>
          <w:sz w:val="24"/>
          <w:szCs w:val="24"/>
        </w:rPr>
        <w:t xml:space="preserve"> </w:t>
      </w:r>
      <w:proofErr w:type="gramStart"/>
      <w:r w:rsidRPr="00147C82">
        <w:rPr>
          <w:rFonts w:ascii="Calibri" w:eastAsia="Times New Roman" w:hAnsi="Calibri" w:cs="Calibri"/>
          <w:b/>
          <w:bCs/>
          <w:color w:val="000000"/>
          <w:sz w:val="24"/>
          <w:szCs w:val="24"/>
        </w:rPr>
        <w:t>The</w:t>
      </w:r>
      <w:proofErr w:type="gramEnd"/>
      <w:r w:rsidRPr="00147C82">
        <w:rPr>
          <w:rFonts w:ascii="Calibri" w:eastAsia="Times New Roman" w:hAnsi="Calibri" w:cs="Calibri"/>
          <w:b/>
          <w:bCs/>
          <w:color w:val="000000"/>
          <w:sz w:val="24"/>
          <w:szCs w:val="24"/>
        </w:rPr>
        <w:t xml:space="preserve"> Power of Your Passion</w:t>
      </w:r>
    </w:p>
    <w:p w:rsidR="00147C82" w:rsidRPr="00147C82" w:rsidRDefault="00147C82" w:rsidP="00147C82">
      <w:pPr>
        <w:spacing w:before="52"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The Cultural and Intellectual Community Council (CICC) selects the annual intellectual theme and funds related programming during the academic year. The theme for CICC sponsored programs in 2022-23 is #The Power of Your Passion.</w:t>
      </w:r>
    </w:p>
    <w:p w:rsidR="00147C82" w:rsidRPr="00147C82" w:rsidRDefault="00147C82" w:rsidP="00147C82">
      <w:pPr>
        <w:spacing w:after="0" w:line="240" w:lineRule="auto"/>
        <w:rPr>
          <w:rFonts w:ascii="Times New Roman" w:eastAsia="Times New Roman" w:hAnsi="Times New Roman" w:cs="Times New Roman"/>
          <w:sz w:val="24"/>
          <w:szCs w:val="24"/>
        </w:rPr>
      </w:pPr>
    </w:p>
    <w:p w:rsidR="00147C82" w:rsidRPr="00147C82" w:rsidRDefault="00147C82" w:rsidP="00147C82">
      <w:pPr>
        <w:spacing w:before="52"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A passion is defined as “an intense desire or enthusiasm for something.’’ This can include a passion for the arts, a passion for a sport, a passion for a philanthropic cause, an intellectual passion, or anything else that sets your soul on fire. Through hard times, it can seem impossible to maintain optimism and have a reason to keep fighting. This is why having a passion is so crucial.</w:t>
      </w:r>
    </w:p>
    <w:p w:rsidR="00147C82" w:rsidRPr="00147C82" w:rsidRDefault="00147C82" w:rsidP="00147C82">
      <w:pPr>
        <w:spacing w:before="52"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 </w:t>
      </w:r>
    </w:p>
    <w:p w:rsidR="00147C82" w:rsidRPr="00147C82" w:rsidRDefault="00147C82" w:rsidP="00147C82">
      <w:pPr>
        <w:spacing w:before="52"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 xml:space="preserve">The 2022 Summer Reading for the class of 2026 is </w:t>
      </w:r>
      <w:r w:rsidRPr="00147C82">
        <w:rPr>
          <w:rFonts w:ascii="Times New Roman" w:eastAsia="Times New Roman" w:hAnsi="Times New Roman" w:cs="Times New Roman"/>
          <w:i/>
          <w:iCs/>
          <w:color w:val="000000"/>
          <w:sz w:val="24"/>
          <w:szCs w:val="24"/>
        </w:rPr>
        <w:t>Hey, Kiddo</w:t>
      </w:r>
      <w:r w:rsidRPr="00147C82">
        <w:rPr>
          <w:rFonts w:ascii="Times New Roman" w:eastAsia="Times New Roman" w:hAnsi="Times New Roman" w:cs="Times New Roman"/>
          <w:color w:val="000000"/>
          <w:sz w:val="24"/>
          <w:szCs w:val="24"/>
        </w:rPr>
        <w:t xml:space="preserve"> by Jarrett J. </w:t>
      </w:r>
      <w:proofErr w:type="spellStart"/>
      <w:r w:rsidRPr="00147C82">
        <w:rPr>
          <w:rFonts w:ascii="Times New Roman" w:eastAsia="Times New Roman" w:hAnsi="Times New Roman" w:cs="Times New Roman"/>
          <w:color w:val="000000"/>
          <w:sz w:val="24"/>
          <w:szCs w:val="24"/>
        </w:rPr>
        <w:t>Krosoczka</w:t>
      </w:r>
      <w:proofErr w:type="spellEnd"/>
      <w:r w:rsidRPr="00147C82">
        <w:rPr>
          <w:rFonts w:ascii="Times New Roman" w:eastAsia="Times New Roman" w:hAnsi="Times New Roman" w:cs="Times New Roman"/>
          <w:color w:val="000000"/>
          <w:sz w:val="24"/>
          <w:szCs w:val="24"/>
        </w:rPr>
        <w:t xml:space="preserve">. In </w:t>
      </w:r>
      <w:r w:rsidRPr="00147C82">
        <w:rPr>
          <w:rFonts w:ascii="Times New Roman" w:eastAsia="Times New Roman" w:hAnsi="Times New Roman" w:cs="Times New Roman"/>
          <w:i/>
          <w:iCs/>
          <w:color w:val="000000"/>
          <w:sz w:val="24"/>
          <w:szCs w:val="24"/>
        </w:rPr>
        <w:t>Hey, Kiddo</w:t>
      </w:r>
      <w:r w:rsidRPr="00147C82">
        <w:rPr>
          <w:rFonts w:ascii="Times New Roman" w:eastAsia="Times New Roman" w:hAnsi="Times New Roman" w:cs="Times New Roman"/>
          <w:color w:val="000000"/>
          <w:sz w:val="24"/>
          <w:szCs w:val="24"/>
        </w:rPr>
        <w:t xml:space="preserve"> Jarrett J. </w:t>
      </w:r>
      <w:proofErr w:type="spellStart"/>
      <w:r w:rsidRPr="00147C82">
        <w:rPr>
          <w:rFonts w:ascii="Times New Roman" w:eastAsia="Times New Roman" w:hAnsi="Times New Roman" w:cs="Times New Roman"/>
          <w:color w:val="000000"/>
          <w:sz w:val="24"/>
          <w:szCs w:val="24"/>
        </w:rPr>
        <w:t>Krosoczka</w:t>
      </w:r>
      <w:proofErr w:type="spellEnd"/>
      <w:r w:rsidRPr="00147C82">
        <w:rPr>
          <w:rFonts w:ascii="Times New Roman" w:eastAsia="Times New Roman" w:hAnsi="Times New Roman" w:cs="Times New Roman"/>
          <w:color w:val="000000"/>
          <w:sz w:val="24"/>
          <w:szCs w:val="24"/>
        </w:rPr>
        <w:t xml:space="preserve"> explores how his passion and talent for drawing helped him survive and thrive despite a challenging childhood. </w:t>
      </w:r>
      <w:r w:rsidRPr="00147C82">
        <w:rPr>
          <w:rFonts w:ascii="Times New Roman" w:eastAsia="Times New Roman" w:hAnsi="Times New Roman" w:cs="Times New Roman"/>
          <w:i/>
          <w:iCs/>
          <w:color w:val="000000"/>
          <w:sz w:val="24"/>
          <w:szCs w:val="24"/>
        </w:rPr>
        <w:t>Hey, Kiddo</w:t>
      </w:r>
      <w:r w:rsidRPr="00147C82">
        <w:rPr>
          <w:rFonts w:ascii="Times New Roman" w:eastAsia="Times New Roman" w:hAnsi="Times New Roman" w:cs="Times New Roman"/>
          <w:color w:val="000000"/>
          <w:sz w:val="24"/>
          <w:szCs w:val="24"/>
        </w:rPr>
        <w:t xml:space="preserve"> was a 2018 National Book Award for Young People's Literature finalist, and it won the 2019 Harvey Award for Book of the Year. </w:t>
      </w:r>
    </w:p>
    <w:p w:rsidR="00147C82" w:rsidRPr="00147C82" w:rsidRDefault="00147C82" w:rsidP="00147C82">
      <w:pPr>
        <w:spacing w:before="52"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We hope that having read this book and heard the author speak will inspire the student body to lean into their passions, no matter how unconventional or fantastical. We also hope our speaker has inspired conversations about overcoming adversity, finding the light in a dark situation, and empowering students to home in on their passion and continue pursuing it throughout their academic and professional life.</w:t>
      </w:r>
    </w:p>
    <w:p w:rsidR="00147C82" w:rsidRPr="00147C82" w:rsidRDefault="00147C82" w:rsidP="00147C82">
      <w:pPr>
        <w:spacing w:after="0" w:line="240" w:lineRule="auto"/>
        <w:rPr>
          <w:rFonts w:ascii="Times New Roman" w:eastAsia="Times New Roman" w:hAnsi="Times New Roman" w:cs="Times New Roman"/>
          <w:sz w:val="24"/>
          <w:szCs w:val="24"/>
        </w:rPr>
      </w:pPr>
    </w:p>
    <w:p w:rsidR="00147C82" w:rsidRPr="00147C82" w:rsidRDefault="00147C82" w:rsidP="00147C82">
      <w:pPr>
        <w:spacing w:before="52"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We invite the campus community to organize and participate in dynamic and meaningful programming under this unifying concept.</w:t>
      </w:r>
    </w:p>
    <w:p w:rsidR="00147C82" w:rsidRPr="00147C82" w:rsidRDefault="00147C82" w:rsidP="00147C82">
      <w:pPr>
        <w:spacing w:after="0" w:line="240" w:lineRule="auto"/>
        <w:rPr>
          <w:rFonts w:ascii="Times New Roman" w:eastAsia="Times New Roman" w:hAnsi="Times New Roman" w:cs="Times New Roman"/>
          <w:sz w:val="24"/>
          <w:szCs w:val="24"/>
        </w:rPr>
      </w:pPr>
    </w:p>
    <w:p w:rsidR="00147C82" w:rsidRPr="00147C82" w:rsidRDefault="00147C82" w:rsidP="00147C82">
      <w:pPr>
        <w:spacing w:after="0" w:line="240" w:lineRule="auto"/>
        <w:ind w:left="100" w:right="153"/>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u w:val="single"/>
        </w:rPr>
        <w:t>Funding Guidelines:</w:t>
      </w:r>
      <w:r w:rsidRPr="00147C82">
        <w:rPr>
          <w:rFonts w:ascii="Times New Roman" w:eastAsia="Times New Roman" w:hAnsi="Times New Roman" w:cs="Times New Roman"/>
          <w:b/>
          <w:bCs/>
          <w:color w:val="000000"/>
          <w:sz w:val="24"/>
          <w:szCs w:val="24"/>
        </w:rPr>
        <w:t xml:space="preserve"> </w:t>
      </w:r>
      <w:r w:rsidRPr="00147C82">
        <w:rPr>
          <w:rFonts w:ascii="Times New Roman" w:eastAsia="Times New Roman" w:hAnsi="Times New Roman" w:cs="Times New Roman"/>
          <w:color w:val="000000"/>
          <w:sz w:val="24"/>
          <w:szCs w:val="24"/>
        </w:rPr>
        <w:t>In general, CICC will provide matching funds for events related to the theme. The committee seeks to sponsor a wide range of events related to the theme throughout the campus community. There is generally a $2,000 limit on requests per proposal and an expectation of co-sponsorship. CICC will provide at most 50% of the funds for an event.  In addition, at the conclusion of the event, recipients must provide a short program report that includes pictures of the event(s), attendance at the lecture, and perceived outcomes within two weeks from the scheduled event. </w:t>
      </w:r>
    </w:p>
    <w:p w:rsidR="00147C82" w:rsidRPr="00147C82" w:rsidRDefault="00147C82" w:rsidP="00147C82">
      <w:pPr>
        <w:spacing w:after="240" w:line="240" w:lineRule="auto"/>
        <w:rPr>
          <w:rFonts w:ascii="Times New Roman" w:eastAsia="Times New Roman" w:hAnsi="Times New Roman" w:cs="Times New Roman"/>
          <w:sz w:val="24"/>
          <w:szCs w:val="24"/>
        </w:rPr>
      </w:pPr>
      <w:r w:rsidRPr="00147C82">
        <w:rPr>
          <w:rFonts w:ascii="Times New Roman" w:eastAsia="Times New Roman" w:hAnsi="Times New Roman" w:cs="Times New Roman"/>
          <w:sz w:val="24"/>
          <w:szCs w:val="24"/>
        </w:rPr>
        <w:br/>
      </w:r>
      <w:r w:rsidRPr="00147C82">
        <w:rPr>
          <w:rFonts w:ascii="Times New Roman" w:eastAsia="Times New Roman" w:hAnsi="Times New Roman" w:cs="Times New Roman"/>
          <w:sz w:val="24"/>
          <w:szCs w:val="24"/>
        </w:rPr>
        <w:br/>
      </w:r>
      <w:r w:rsidRPr="00147C82">
        <w:rPr>
          <w:rFonts w:ascii="Times New Roman" w:eastAsia="Times New Roman" w:hAnsi="Times New Roman" w:cs="Times New Roman"/>
          <w:sz w:val="24"/>
          <w:szCs w:val="24"/>
        </w:rPr>
        <w:br/>
      </w:r>
      <w:r w:rsidRPr="00147C82">
        <w:rPr>
          <w:rFonts w:ascii="Times New Roman" w:eastAsia="Times New Roman" w:hAnsi="Times New Roman" w:cs="Times New Roman"/>
          <w:sz w:val="24"/>
          <w:szCs w:val="24"/>
        </w:rPr>
        <w:br/>
      </w:r>
      <w:r w:rsidRPr="00147C82">
        <w:rPr>
          <w:rFonts w:ascii="Times New Roman" w:eastAsia="Times New Roman" w:hAnsi="Times New Roman" w:cs="Times New Roman"/>
          <w:sz w:val="24"/>
          <w:szCs w:val="24"/>
        </w:rPr>
        <w:lastRenderedPageBreak/>
        <w:br/>
      </w:r>
      <w:r w:rsidRPr="00147C82">
        <w:rPr>
          <w:rFonts w:ascii="Times New Roman" w:eastAsia="Times New Roman" w:hAnsi="Times New Roman" w:cs="Times New Roman"/>
          <w:sz w:val="24"/>
          <w:szCs w:val="24"/>
        </w:rPr>
        <w:br/>
      </w:r>
      <w:r w:rsidRPr="00147C82">
        <w:rPr>
          <w:rFonts w:ascii="Times New Roman" w:eastAsia="Times New Roman" w:hAnsi="Times New Roman" w:cs="Times New Roman"/>
          <w:sz w:val="24"/>
          <w:szCs w:val="24"/>
        </w:rPr>
        <w:br/>
      </w:r>
    </w:p>
    <w:p w:rsidR="00147C82" w:rsidRPr="00147C82" w:rsidRDefault="00147C82" w:rsidP="00147C82">
      <w:pPr>
        <w:spacing w:before="92" w:after="0" w:line="240" w:lineRule="auto"/>
        <w:ind w:left="3695" w:right="3701"/>
        <w:jc w:val="center"/>
        <w:outlineLvl w:val="0"/>
        <w:rPr>
          <w:rFonts w:ascii="Times New Roman" w:eastAsia="Times New Roman" w:hAnsi="Times New Roman" w:cs="Times New Roman"/>
          <w:b/>
          <w:bCs/>
          <w:kern w:val="36"/>
          <w:sz w:val="48"/>
          <w:szCs w:val="48"/>
        </w:rPr>
      </w:pPr>
      <w:r w:rsidRPr="00147C82">
        <w:rPr>
          <w:rFonts w:ascii="Times New Roman" w:eastAsia="Times New Roman" w:hAnsi="Times New Roman" w:cs="Times New Roman"/>
          <w:b/>
          <w:bCs/>
          <w:color w:val="000000"/>
          <w:kern w:val="36"/>
          <w:sz w:val="28"/>
          <w:szCs w:val="28"/>
        </w:rPr>
        <w:t>Evaluation Rubric</w:t>
      </w:r>
    </w:p>
    <w:p w:rsidR="00147C82" w:rsidRPr="00147C82" w:rsidRDefault="00147C82" w:rsidP="00147C82">
      <w:pPr>
        <w:spacing w:after="0" w:line="240" w:lineRule="auto"/>
        <w:rPr>
          <w:rFonts w:ascii="Times New Roman" w:eastAsia="Times New Roman" w:hAnsi="Times New Roman" w:cs="Times New Roman"/>
          <w:sz w:val="24"/>
          <w:szCs w:val="24"/>
        </w:rPr>
      </w:pPr>
    </w:p>
    <w:tbl>
      <w:tblPr>
        <w:tblW w:w="0" w:type="auto"/>
        <w:tblInd w:w="-190" w:type="dxa"/>
        <w:tblCellMar>
          <w:top w:w="15" w:type="dxa"/>
          <w:left w:w="15" w:type="dxa"/>
          <w:bottom w:w="15" w:type="dxa"/>
          <w:right w:w="15" w:type="dxa"/>
        </w:tblCellMar>
        <w:tblLook w:val="04A0" w:firstRow="1" w:lastRow="0" w:firstColumn="1" w:lastColumn="0" w:noHBand="0" w:noVBand="1"/>
      </w:tblPr>
      <w:tblGrid>
        <w:gridCol w:w="6302"/>
        <w:gridCol w:w="1414"/>
        <w:gridCol w:w="1816"/>
      </w:tblGrid>
      <w:tr w:rsidR="00147C82" w:rsidRPr="00147C82" w:rsidTr="00147C82">
        <w:trPr>
          <w:trHeight w:val="585"/>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171" w:after="0" w:line="240" w:lineRule="auto"/>
              <w:ind w:left="2616" w:right="2561"/>
              <w:jc w:val="center"/>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rPr>
              <w:t>Criterion</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before="171" w:after="0" w:line="240" w:lineRule="auto"/>
              <w:ind w:left="157"/>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rPr>
              <w:t>Satisfactory</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before="25" w:after="0" w:line="240" w:lineRule="auto"/>
              <w:ind w:left="292" w:right="267" w:firstLine="435"/>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rPr>
              <w:t>Not Satisfactory</w:t>
            </w:r>
          </w:p>
        </w:tc>
      </w:tr>
      <w:tr w:rsidR="00147C82" w:rsidRPr="00147C82" w:rsidTr="00147C82">
        <w:trPr>
          <w:trHeight w:val="300"/>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6" w:after="0" w:line="240" w:lineRule="auto"/>
              <w:ind w:left="125"/>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Complete description of the event provided?</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r>
      <w:tr w:rsidR="00147C82" w:rsidRPr="00147C82" w:rsidTr="00147C82">
        <w:trPr>
          <w:trHeight w:val="795"/>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6" w:after="0" w:line="240" w:lineRule="auto"/>
              <w:ind w:left="125" w:right="833"/>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Complete information on speakers/presenters and their credentials?</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r>
      <w:tr w:rsidR="00147C82" w:rsidRPr="00147C82" w:rsidTr="00147C82">
        <w:trPr>
          <w:trHeight w:val="480"/>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6" w:after="0" w:line="240" w:lineRule="auto"/>
              <w:ind w:left="125"/>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Explanation of how the proposal relates to this year’s theme?</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r>
      <w:tr w:rsidR="00147C82" w:rsidRPr="00147C82" w:rsidTr="00147C82">
        <w:trPr>
          <w:trHeight w:val="300"/>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21" w:after="0" w:line="240" w:lineRule="auto"/>
              <w:ind w:left="125"/>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Explanation of provisions for student involvement?</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r>
      <w:tr w:rsidR="00147C82" w:rsidRPr="00147C82" w:rsidTr="00147C82">
        <w:trPr>
          <w:trHeight w:val="705"/>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26" w:after="0" w:line="240" w:lineRule="auto"/>
              <w:ind w:left="125" w:right="788"/>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Explanation of what efforts will be made to engage the outside community?</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bookmarkStart w:id="0" w:name="_GoBack"/>
        <w:bookmarkEnd w:id="0"/>
      </w:tr>
      <w:tr w:rsidR="00147C82" w:rsidRPr="00147C82" w:rsidTr="00147C82">
        <w:trPr>
          <w:trHeight w:val="570"/>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before="10" w:after="0" w:line="240" w:lineRule="auto"/>
              <w:ind w:left="125" w:right="1061"/>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Announcement suitable for campus-wide circulation provided?</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r>
      <w:tr w:rsidR="00147C82" w:rsidRPr="00147C82" w:rsidTr="00147C82">
        <w:trPr>
          <w:trHeight w:val="825"/>
        </w:trPr>
        <w:tc>
          <w:tcPr>
            <w:tcW w:w="6321" w:type="dxa"/>
            <w:tcBorders>
              <w:top w:val="single" w:sz="6" w:space="0" w:color="000000"/>
              <w:left w:val="single" w:sz="8" w:space="0" w:color="000000"/>
              <w:bottom w:val="single" w:sz="6" w:space="0" w:color="000000"/>
              <w:right w:val="single" w:sz="6" w:space="0" w:color="000000"/>
            </w:tcBorders>
            <w:hideMark/>
          </w:tcPr>
          <w:p w:rsidR="00147C82" w:rsidRPr="00147C82" w:rsidRDefault="00147C82" w:rsidP="00147C82">
            <w:pPr>
              <w:spacing w:after="0" w:line="240" w:lineRule="auto"/>
              <w:ind w:left="125" w:right="1390"/>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Proposed budget: Include advertising plan and related cost, secured funding from other sources, speaker fees?</w:t>
            </w: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147C82" w:rsidRPr="00147C82" w:rsidRDefault="00147C82" w:rsidP="00147C82">
            <w:pPr>
              <w:spacing w:after="0" w:line="240" w:lineRule="auto"/>
              <w:rPr>
                <w:rFonts w:ascii="Times New Roman" w:eastAsia="Times New Roman" w:hAnsi="Times New Roman" w:cs="Times New Roman"/>
                <w:sz w:val="24"/>
                <w:szCs w:val="24"/>
              </w:rPr>
            </w:pPr>
          </w:p>
        </w:tc>
      </w:tr>
    </w:tbl>
    <w:p w:rsidR="00147C82" w:rsidRPr="00147C82" w:rsidRDefault="00147C82" w:rsidP="00147C82">
      <w:pPr>
        <w:spacing w:after="0" w:line="240" w:lineRule="auto"/>
        <w:ind w:left="124" w:right="687"/>
        <w:rPr>
          <w:rFonts w:ascii="Times New Roman" w:eastAsia="Times New Roman" w:hAnsi="Times New Roman" w:cs="Times New Roman"/>
          <w:sz w:val="24"/>
          <w:szCs w:val="24"/>
        </w:rPr>
      </w:pPr>
      <w:r w:rsidRPr="00147C82">
        <w:rPr>
          <w:rFonts w:ascii="Times New Roman" w:eastAsia="Times New Roman" w:hAnsi="Times New Roman" w:cs="Times New Roman"/>
          <w:color w:val="000000"/>
          <w:sz w:val="24"/>
          <w:szCs w:val="24"/>
        </w:rPr>
        <w:t>For those areas considered “Not Satisfactory,” what are the Council’s questions and concerns? And, what are the Council’s recommendations for addressing these questions and concerns?</w:t>
      </w:r>
    </w:p>
    <w:p w:rsidR="00147C82" w:rsidRPr="00147C82" w:rsidRDefault="00147C82" w:rsidP="00147C82">
      <w:pPr>
        <w:spacing w:after="240" w:line="240" w:lineRule="auto"/>
        <w:rPr>
          <w:rFonts w:ascii="Times New Roman" w:eastAsia="Times New Roman" w:hAnsi="Times New Roman" w:cs="Times New Roman"/>
          <w:sz w:val="24"/>
          <w:szCs w:val="24"/>
        </w:rPr>
      </w:pPr>
    </w:p>
    <w:p w:rsidR="00147C82" w:rsidRPr="00147C82" w:rsidRDefault="00147C82" w:rsidP="00147C82">
      <w:pPr>
        <w:spacing w:after="0" w:line="240" w:lineRule="auto"/>
        <w:ind w:left="124" w:right="687"/>
        <w:rPr>
          <w:rFonts w:ascii="Times New Roman" w:eastAsia="Times New Roman" w:hAnsi="Times New Roman" w:cs="Times New Roman"/>
          <w:sz w:val="24"/>
          <w:szCs w:val="24"/>
        </w:rPr>
      </w:pPr>
      <w:r w:rsidRPr="00147C82">
        <w:rPr>
          <w:rFonts w:ascii="Times New Roman" w:eastAsia="Times New Roman" w:hAnsi="Times New Roman" w:cs="Times New Roman"/>
          <w:b/>
          <w:bCs/>
          <w:color w:val="000000"/>
          <w:sz w:val="24"/>
          <w:szCs w:val="24"/>
        </w:rPr>
        <w:t>Submission guidelines:  </w:t>
      </w:r>
    </w:p>
    <w:p w:rsidR="00147C82" w:rsidRPr="00147C82" w:rsidRDefault="00147C82" w:rsidP="00147C82">
      <w:pPr>
        <w:spacing w:after="0" w:line="240" w:lineRule="auto"/>
        <w:rPr>
          <w:rFonts w:ascii="Times New Roman" w:eastAsia="Times New Roman" w:hAnsi="Times New Roman" w:cs="Times New Roman"/>
          <w:sz w:val="24"/>
          <w:szCs w:val="24"/>
        </w:rPr>
      </w:pPr>
    </w:p>
    <w:p w:rsidR="00147C82" w:rsidRPr="00147C82" w:rsidRDefault="00147C82" w:rsidP="00147C82">
      <w:pPr>
        <w:shd w:val="clear" w:color="auto" w:fill="FFFFFF"/>
        <w:spacing w:after="0" w:line="240" w:lineRule="auto"/>
        <w:rPr>
          <w:rFonts w:ascii="Times New Roman" w:eastAsia="Times New Roman" w:hAnsi="Times New Roman" w:cs="Times New Roman"/>
          <w:sz w:val="24"/>
          <w:szCs w:val="24"/>
        </w:rPr>
      </w:pPr>
      <w:r w:rsidRPr="00147C82">
        <w:rPr>
          <w:rFonts w:ascii="Arial" w:eastAsia="Times New Roman" w:hAnsi="Arial" w:cs="Arial"/>
          <w:color w:val="222222"/>
          <w:sz w:val="24"/>
          <w:szCs w:val="24"/>
        </w:rPr>
        <w:t>Funds will be distributed on a rolling basis, so please submit your proposal early before funds are depleted.  CICC welcomes inquiries about whether or how a proposed event could relate to the theme or about the application process. Questions, completed applications and reports should be emailed to the chair of CICC, Forrest Link</w:t>
      </w:r>
      <w:proofErr w:type="gramStart"/>
      <w:r w:rsidRPr="00147C82">
        <w:rPr>
          <w:rFonts w:ascii="Arial" w:eastAsia="Times New Roman" w:hAnsi="Arial" w:cs="Arial"/>
          <w:color w:val="222222"/>
          <w:sz w:val="24"/>
          <w:szCs w:val="24"/>
        </w:rPr>
        <w:t>,  at</w:t>
      </w:r>
      <w:proofErr w:type="gramEnd"/>
      <w:r w:rsidRPr="00147C82">
        <w:rPr>
          <w:rFonts w:ascii="Arial" w:eastAsia="Times New Roman" w:hAnsi="Arial" w:cs="Arial"/>
          <w:color w:val="222222"/>
          <w:sz w:val="24"/>
          <w:szCs w:val="24"/>
        </w:rPr>
        <w:t> </w:t>
      </w:r>
      <w:hyperlink r:id="rId4" w:history="1">
        <w:r w:rsidRPr="00147C82">
          <w:rPr>
            <w:rFonts w:ascii="Arial" w:eastAsia="Times New Roman" w:hAnsi="Arial" w:cs="Arial"/>
            <w:color w:val="1155CC"/>
            <w:sz w:val="24"/>
            <w:szCs w:val="24"/>
            <w:u w:val="single"/>
          </w:rPr>
          <w:t>cicpc@tcnj.edu</w:t>
        </w:r>
      </w:hyperlink>
      <w:r w:rsidRPr="00147C82">
        <w:rPr>
          <w:rFonts w:ascii="Arial" w:eastAsia="Times New Roman" w:hAnsi="Arial" w:cs="Arial"/>
          <w:color w:val="222222"/>
          <w:sz w:val="24"/>
          <w:szCs w:val="24"/>
        </w:rPr>
        <w:t>.</w:t>
      </w:r>
    </w:p>
    <w:p w:rsidR="00E54B74" w:rsidRDefault="00E54B74"/>
    <w:sectPr w:rsidR="00E5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82"/>
    <w:rsid w:val="00147C82"/>
    <w:rsid w:val="00E5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48337-B09F-4901-A0E5-127CA94E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3710">
      <w:bodyDiv w:val="1"/>
      <w:marLeft w:val="0"/>
      <w:marRight w:val="0"/>
      <w:marTop w:val="0"/>
      <w:marBottom w:val="0"/>
      <w:divBdr>
        <w:top w:val="none" w:sz="0" w:space="0" w:color="auto"/>
        <w:left w:val="none" w:sz="0" w:space="0" w:color="auto"/>
        <w:bottom w:val="none" w:sz="0" w:space="0" w:color="auto"/>
        <w:right w:val="none" w:sz="0" w:space="0" w:color="auto"/>
      </w:divBdr>
      <w:divsChild>
        <w:div w:id="1782676762">
          <w:marLeft w:val="1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cpc@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3031</Characters>
  <Application>Microsoft Office Word</Application>
  <DocSecurity>0</DocSecurity>
  <Lines>25</Lines>
  <Paragraphs>7</Paragraphs>
  <ScaleCrop>false</ScaleCrop>
  <Company>The College of New Jersey</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cp:revision>
  <dcterms:created xsi:type="dcterms:W3CDTF">2022-10-06T13:05:00Z</dcterms:created>
  <dcterms:modified xsi:type="dcterms:W3CDTF">2022-10-06T13:07:00Z</dcterms:modified>
</cp:coreProperties>
</file>